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34D" w:rsidRDefault="00EC634D" w:rsidP="00660B51">
      <w:pPr>
        <w:jc w:val="center"/>
        <w:rPr>
          <w:b/>
        </w:rPr>
      </w:pPr>
    </w:p>
    <w:p w:rsidR="002B0BB1" w:rsidRDefault="00BB7C5C" w:rsidP="00660B51">
      <w:pPr>
        <w:jc w:val="center"/>
        <w:rPr>
          <w:b/>
        </w:rPr>
      </w:pPr>
      <w:r w:rsidRPr="00EC634D">
        <w:rPr>
          <w:b/>
        </w:rPr>
        <w:t xml:space="preserve">Developing a Teacher Identity: Article Review </w:t>
      </w:r>
    </w:p>
    <w:p w:rsidR="00EC634D" w:rsidRPr="00EC634D" w:rsidRDefault="00EC634D" w:rsidP="00660B51">
      <w:pPr>
        <w:jc w:val="center"/>
        <w:rPr>
          <w:b/>
        </w:rPr>
      </w:pPr>
    </w:p>
    <w:p w:rsidR="00AA5105" w:rsidRDefault="00AA5105" w:rsidP="002B6DA1">
      <w:pPr>
        <w:spacing w:after="0" w:line="480" w:lineRule="auto"/>
        <w:ind w:firstLine="357"/>
      </w:pPr>
      <w:r>
        <w:t xml:space="preserve">This critical summary will </w:t>
      </w:r>
      <w:r w:rsidR="00EF00F1">
        <w:t>investigate</w:t>
      </w:r>
      <w:r>
        <w:t xml:space="preserve"> Judith Franzak’s article titled “Developing a Teacher Identity: The Impact of Critical Friends Practice on the Student Teacher”</w:t>
      </w:r>
      <w:r w:rsidR="005C735E">
        <w:t xml:space="preserve"> from the English Education journal. </w:t>
      </w:r>
      <w:r w:rsidR="00EF00F1">
        <w:t>This article follows the case study of a student referred to as “Rebecca”, in which Franzak reviews the growth of her professional identity as a member of the school’s Critical Friends Group (CFG) through interviews, online correspondence, evaluation of her portfolio, and in-class observations.</w:t>
      </w:r>
      <w:r w:rsidR="00FC68FD">
        <w:t xml:space="preserve"> Franzak wonders “[how] formalized interaction with veteran teachers demonstrating transformation in their own identity influence the student teacher’s construction of a teacher identity” (</w:t>
      </w:r>
      <w:r w:rsidR="009F4B91">
        <w:t xml:space="preserve">Franzak </w:t>
      </w:r>
      <w:r w:rsidR="00FC68FD" w:rsidRPr="009F4B91">
        <w:t>261-262</w:t>
      </w:r>
      <w:r w:rsidR="00FC68FD">
        <w:t>)</w:t>
      </w:r>
      <w:r w:rsidR="00F16347">
        <w:t>, and chooses the CFG as a venue in which the student teacher would be exposed to this.</w:t>
      </w:r>
      <w:r w:rsidR="00FC68FD">
        <w:t xml:space="preserve"> </w:t>
      </w:r>
      <w:r w:rsidR="00EF00F1">
        <w:t xml:space="preserve">CFGs are described as “practitioner-driven study groups that reflect the growing trend for site-based professional development in which practitioners behave as managers of their own learning.” </w:t>
      </w:r>
      <w:r w:rsidR="00FC68FD">
        <w:t>(</w:t>
      </w:r>
      <w:r w:rsidR="008A5B09">
        <w:t xml:space="preserve">Franzak, </w:t>
      </w:r>
      <w:r w:rsidR="00723771">
        <w:t>260)</w:t>
      </w:r>
      <w:r w:rsidR="00DF20DA">
        <w:t xml:space="preserve"> </w:t>
      </w:r>
      <w:r w:rsidR="00684ACB">
        <w:t>In any CFG activity</w:t>
      </w:r>
      <w:r w:rsidR="009F4B91">
        <w:t>,</w:t>
      </w:r>
      <w:r w:rsidR="00684ACB">
        <w:t xml:space="preserve"> a presenter raises a focus question or a dilemma, and teachers of all levels are encouraged to share their insights, comments, questions and experiences relating to the topic. The presenter then shares what they have found useful in the conversation</w:t>
      </w:r>
      <w:r w:rsidR="00FC68FD">
        <w:t xml:space="preserve"> (</w:t>
      </w:r>
      <w:r w:rsidR="00D76100">
        <w:t xml:space="preserve">Franzak </w:t>
      </w:r>
      <w:r w:rsidR="00684ACB">
        <w:t xml:space="preserve">261.) </w:t>
      </w:r>
      <w:r w:rsidR="00C91F60">
        <w:t>The practices of the CFG</w:t>
      </w:r>
      <w:r w:rsidR="00DF20DA">
        <w:t xml:space="preserve"> </w:t>
      </w:r>
      <w:r w:rsidR="00C91F60">
        <w:t>are</w:t>
      </w:r>
      <w:r w:rsidR="00DF20DA">
        <w:t xml:space="preserve"> based upon the premise that the collaborative examination of teaching will lead to </w:t>
      </w:r>
      <w:r w:rsidR="00B5123F">
        <w:t xml:space="preserve">educator </w:t>
      </w:r>
      <w:r w:rsidR="00DF20DA">
        <w:t xml:space="preserve">reflection, which will then lead to meaningful change in praxis </w:t>
      </w:r>
      <w:r w:rsidR="00FC68FD">
        <w:t>(</w:t>
      </w:r>
      <w:r w:rsidR="00D76100">
        <w:t xml:space="preserve">Franzak </w:t>
      </w:r>
      <w:r w:rsidR="00DF20DA">
        <w:t xml:space="preserve">261.) </w:t>
      </w:r>
      <w:r w:rsidR="00604C63">
        <w:t xml:space="preserve">Thus, teachers at any and every level </w:t>
      </w:r>
      <w:r w:rsidR="00B5123F">
        <w:t>in a CFG should theoretically be</w:t>
      </w:r>
      <w:r w:rsidR="00604C63">
        <w:t xml:space="preserve"> questioning and revaluating their </w:t>
      </w:r>
      <w:r w:rsidR="00700648">
        <w:t>viewpoints</w:t>
      </w:r>
      <w:r w:rsidR="00B5123F">
        <w:t xml:space="preserve"> with the same vigor of a novice teacher. </w:t>
      </w:r>
    </w:p>
    <w:p w:rsidR="00CC7BCF" w:rsidRDefault="00250231" w:rsidP="002B6DA1">
      <w:pPr>
        <w:spacing w:after="0" w:line="480" w:lineRule="auto"/>
        <w:ind w:firstLine="357"/>
      </w:pPr>
      <w:r>
        <w:t>The earliest documents inv</w:t>
      </w:r>
      <w:r w:rsidR="008A5B09">
        <w:t>olved in the case study reveal</w:t>
      </w:r>
      <w:r>
        <w:t xml:space="preserve"> Rebecca’s hesitance to describe her “teacher identity”; despite having a vague</w:t>
      </w:r>
      <w:r w:rsidR="00685642">
        <w:t xml:space="preserve"> idea of how she wants</w:t>
      </w:r>
      <w:r>
        <w:t xml:space="preserve"> to </w:t>
      </w:r>
      <w:r w:rsidR="00685642">
        <w:t>present herself to</w:t>
      </w:r>
      <w:r>
        <w:t xml:space="preserve"> students, </w:t>
      </w:r>
      <w:r w:rsidR="008A5B09">
        <w:t>she seems</w:t>
      </w:r>
      <w:r>
        <w:t xml:space="preserve"> unable to reconcile her</w:t>
      </w:r>
      <w:r w:rsidR="00421CCB">
        <w:t xml:space="preserve"> theoretical goals</w:t>
      </w:r>
      <w:r>
        <w:t xml:space="preserve"> to </w:t>
      </w:r>
      <w:r w:rsidR="00D138A5">
        <w:t xml:space="preserve">reality. </w:t>
      </w:r>
      <w:r w:rsidR="008A5B09">
        <w:t>However, Rebecca finds a “safe place” (</w:t>
      </w:r>
      <w:r w:rsidR="00685642">
        <w:t xml:space="preserve">Franzak </w:t>
      </w:r>
      <w:r w:rsidR="008A5B09">
        <w:t xml:space="preserve">266) for herself within the CFG, where she repeatedly states that she is not “treat[ed] </w:t>
      </w:r>
      <w:r w:rsidR="008A5B09">
        <w:lastRenderedPageBreak/>
        <w:t>different[ly] than everyone else”</w:t>
      </w:r>
      <w:r w:rsidR="00685642">
        <w:rPr>
          <w:color w:val="FF0000"/>
        </w:rPr>
        <w:t xml:space="preserve"> </w:t>
      </w:r>
      <w:r w:rsidR="00685642">
        <w:t xml:space="preserve">(Franzak 266.) </w:t>
      </w:r>
      <w:r w:rsidR="00C77037">
        <w:t xml:space="preserve">The CFG’s role is to be collaborative but it also functions as a group in which support is shared amongst teachers. </w:t>
      </w:r>
      <w:r w:rsidR="008A5B09">
        <w:t xml:space="preserve">As one of the main </w:t>
      </w:r>
      <w:r w:rsidR="003E42BE">
        <w:t>principles of CFGs is equality, Rebecca’s university knowledge and student teaching experience</w:t>
      </w:r>
      <w:r w:rsidR="004D74D9">
        <w:t xml:space="preserve"> i</w:t>
      </w:r>
      <w:r w:rsidR="003E42BE">
        <w:t xml:space="preserve">s not regarded as a lack of real-world teaching experience, but rather, as a different viewpoint to be considered. </w:t>
      </w:r>
      <w:r w:rsidR="0058362E">
        <w:t>The CFG protocols in which sh</w:t>
      </w:r>
      <w:r w:rsidR="004D74D9">
        <w:t>e engages in a</w:t>
      </w:r>
      <w:r w:rsidR="0058362E">
        <w:t>re useful to her, both as a presenter and a contributor to the discussions.</w:t>
      </w:r>
      <w:r w:rsidR="004D74D9">
        <w:t xml:space="preserve"> The confidence she experiences </w:t>
      </w:r>
      <w:r w:rsidR="0058362E">
        <w:t>fro</w:t>
      </w:r>
      <w:r w:rsidR="004D74D9">
        <w:t xml:space="preserve">m having her voice heard excites </w:t>
      </w:r>
      <w:r w:rsidR="0058362E">
        <w:t xml:space="preserve">her, and on the </w:t>
      </w:r>
      <w:r w:rsidR="00680BF0">
        <w:t xml:space="preserve">one </w:t>
      </w:r>
      <w:r w:rsidR="0058362E">
        <w:t xml:space="preserve">occasion </w:t>
      </w:r>
      <w:r w:rsidR="00DD3DA7">
        <w:t>that she presents</w:t>
      </w:r>
      <w:r w:rsidR="0058362E">
        <w:t xml:space="preserve"> her dilemma to the group, it benefitted her greatly to “</w:t>
      </w:r>
      <w:r w:rsidR="004D74D9">
        <w:t xml:space="preserve">think </w:t>
      </w:r>
      <w:r w:rsidR="0058362E">
        <w:t>about what [was] going on and how to approach it” (</w:t>
      </w:r>
      <w:r w:rsidR="00E34F16">
        <w:t xml:space="preserve">Franzak </w:t>
      </w:r>
      <w:r w:rsidR="0058362E">
        <w:t>269</w:t>
      </w:r>
      <w:r w:rsidR="007C1283">
        <w:t>.</w:t>
      </w:r>
      <w:r w:rsidR="0058362E">
        <w:t>)</w:t>
      </w:r>
      <w:r w:rsidR="007C1283">
        <w:t xml:space="preserve"> Her issue was not solved by her coworkers, nor had she necessarily followed the advice she was given, but the protocol “helped her reframe the problem in a way that made it solvable for her” (</w:t>
      </w:r>
      <w:r w:rsidR="00E34F16">
        <w:t xml:space="preserve">Franzak </w:t>
      </w:r>
      <w:r w:rsidR="007C1283">
        <w:t>269.)</w:t>
      </w:r>
      <w:r w:rsidR="002B52A4">
        <w:t xml:space="preserve"> From the CFG conversation, Rebecca was able to figure out a professional course of action based on experienced advisory but using her own ideas, indicating that her “teacher identity” was beginning to take shape.</w:t>
      </w:r>
    </w:p>
    <w:p w:rsidR="00883399" w:rsidRDefault="00586F6A" w:rsidP="002B6DA1">
      <w:pPr>
        <w:spacing w:after="0" w:line="480" w:lineRule="auto"/>
        <w:ind w:firstLine="357"/>
      </w:pPr>
      <w:r>
        <w:t>Rebecca also finds that the CFG could be used as a “means of empowerment and change” (</w:t>
      </w:r>
      <w:r w:rsidR="00F00132">
        <w:t xml:space="preserve">Franzak </w:t>
      </w:r>
      <w:r>
        <w:t>270), although the CFG is not</w:t>
      </w:r>
      <w:r w:rsidR="00C37B85">
        <w:t xml:space="preserve"> meant to be</w:t>
      </w:r>
      <w:r>
        <w:t xml:space="preserve"> concerned with </w:t>
      </w:r>
      <w:r w:rsidR="00C37B85">
        <w:t>politics</w:t>
      </w:r>
      <w:r w:rsidR="00EB26D6">
        <w:t>. It is part of Rebecca’s identity a</w:t>
      </w:r>
      <w:r w:rsidR="00C37B85">
        <w:t>s a teacher to consider activist perspectives when she analyses teaching,</w:t>
      </w:r>
      <w:r w:rsidR="00EB26D6">
        <w:t xml:space="preserve"> and she raises institutional issues such as tracking within the CFG. At this point, her opinions and feelings</w:t>
      </w:r>
      <w:r w:rsidR="00F93D89">
        <w:t xml:space="preserve"> on the matter</w:t>
      </w:r>
      <w:r w:rsidR="00EB26D6">
        <w:t xml:space="preserve"> are expressed much more openly with the more experienced faculty, even outside of the CFG</w:t>
      </w:r>
      <w:r w:rsidR="00BB5F92">
        <w:t xml:space="preserve">. </w:t>
      </w:r>
      <w:r w:rsidR="00C37B85">
        <w:t xml:space="preserve">She also points out specific aspects of </w:t>
      </w:r>
      <w:r w:rsidR="006B3242">
        <w:t>education that she finds important, such as the need for teachers to be</w:t>
      </w:r>
      <w:r w:rsidR="00C37B85">
        <w:t xml:space="preserve"> non-judgemental</w:t>
      </w:r>
      <w:r w:rsidR="00B92951">
        <w:t xml:space="preserve">, </w:t>
      </w:r>
      <w:r w:rsidR="00C37B85">
        <w:t xml:space="preserve"> “self-determinate in setting educational policy” (</w:t>
      </w:r>
      <w:r w:rsidR="00723984">
        <w:t xml:space="preserve">Franzak </w:t>
      </w:r>
      <w:r w:rsidR="00C37B85">
        <w:t>273)</w:t>
      </w:r>
      <w:r w:rsidR="00B92951">
        <w:t xml:space="preserve"> and self-reflective (</w:t>
      </w:r>
      <w:r w:rsidR="00723984">
        <w:t xml:space="preserve">Franzak </w:t>
      </w:r>
      <w:r w:rsidR="00B92951">
        <w:t>274); this</w:t>
      </w:r>
      <w:r w:rsidR="00C37B85">
        <w:t xml:space="preserve"> is interesting when juxtaposed with her previously vague goals of “listening to students” </w:t>
      </w:r>
      <w:r w:rsidR="006B3242">
        <w:t>(</w:t>
      </w:r>
      <w:r w:rsidR="00414615">
        <w:t xml:space="preserve">Franzak </w:t>
      </w:r>
      <w:r w:rsidR="006B3242">
        <w:t xml:space="preserve">265) </w:t>
      </w:r>
      <w:r w:rsidR="00C37B85">
        <w:t>and showing them t</w:t>
      </w:r>
      <w:r w:rsidR="006B3242">
        <w:t>hat</w:t>
      </w:r>
      <w:r w:rsidR="00C37B85">
        <w:t xml:space="preserve"> reading is important (</w:t>
      </w:r>
      <w:r w:rsidR="00414615">
        <w:t xml:space="preserve">Franzak </w:t>
      </w:r>
      <w:r w:rsidR="00C37B85">
        <w:t>265.)</w:t>
      </w:r>
      <w:r w:rsidR="00FE37B7">
        <w:t xml:space="preserve"> She also plans to use CFG tools in her classroom in order to get students to explore multiple viewpoints as well as for effective problem </w:t>
      </w:r>
      <w:r w:rsidR="00FE37B7">
        <w:lastRenderedPageBreak/>
        <w:t>solving.</w:t>
      </w:r>
      <w:r w:rsidR="006B3242">
        <w:t xml:space="preserve"> Rebecca seems to be moving away from general ideals of </w:t>
      </w:r>
      <w:r w:rsidR="006B3242" w:rsidRPr="006B3242">
        <w:rPr>
          <w:i/>
        </w:rPr>
        <w:t>what</w:t>
      </w:r>
      <w:r w:rsidR="006B3242">
        <w:t xml:space="preserve"> she wants to be, and is now trying to figure out </w:t>
      </w:r>
      <w:r w:rsidR="006B3242" w:rsidRPr="006B3242">
        <w:rPr>
          <w:i/>
        </w:rPr>
        <w:t>how</w:t>
      </w:r>
      <w:r w:rsidR="006B3242">
        <w:t xml:space="preserve"> </w:t>
      </w:r>
      <w:r w:rsidR="006B3242" w:rsidRPr="006B3242">
        <w:t>she</w:t>
      </w:r>
      <w:r w:rsidR="006B3242">
        <w:t xml:space="preserve"> will be able to successfully move toward those goals. </w:t>
      </w:r>
    </w:p>
    <w:p w:rsidR="003C6C62" w:rsidRPr="00A436B2" w:rsidRDefault="00883399" w:rsidP="002B6DA1">
      <w:pPr>
        <w:spacing w:after="0" w:line="480" w:lineRule="auto"/>
        <w:ind w:firstLine="357"/>
      </w:pPr>
      <w:r>
        <w:t>The article closes upon affirming Rebecca’s competence as a future educator</w:t>
      </w:r>
      <w:r w:rsidR="0059322F">
        <w:t>, but</w:t>
      </w:r>
      <w:r>
        <w:t xml:space="preserve"> Franzak does not </w:t>
      </w:r>
      <w:r w:rsidR="00EC634D">
        <w:t>come</w:t>
      </w:r>
      <w:r>
        <w:t xml:space="preserve"> to a definitive answer as to whether or not the CFG influenced the formation of Rebecca’s teacher identity. However, Rebecca herself does say that she will use CFG practices in the classroom and is “sold for life” </w:t>
      </w:r>
      <w:r w:rsidR="00BD1624">
        <w:t xml:space="preserve">(Franzak 276) </w:t>
      </w:r>
      <w:r>
        <w:t xml:space="preserve">on them. </w:t>
      </w:r>
      <w:r w:rsidR="005C6FE0">
        <w:t xml:space="preserve">It is impossible to speculate on what the trajectory of her student teaching would’ve been like in the event that she was not a part of the CFG, but given the skills, philosophy and confidence she gained from the group discussions, it is not unbelievable to assume that the interaction with more experienced teachers </w:t>
      </w:r>
      <w:r w:rsidR="00CA5316">
        <w:t>facilitated the development of her teacher identity. Franzak does not mention questioning Rebecca on her identity again toward the end, despite the fact that this is what she intended to research. Althoug</w:t>
      </w:r>
      <w:r w:rsidR="00A436B2">
        <w:t xml:space="preserve">h this is still an </w:t>
      </w:r>
      <w:r w:rsidR="00CA5316">
        <w:t>informative case study, it is a bit perplexing that Rebecca is not</w:t>
      </w:r>
      <w:r w:rsidR="00A436B2">
        <w:t xml:space="preserve"> specifically</w:t>
      </w:r>
      <w:r w:rsidR="00CA5316">
        <w:t xml:space="preserve"> asked for her </w:t>
      </w:r>
      <w:r w:rsidR="00ED6FC9">
        <w:t xml:space="preserve">own </w:t>
      </w:r>
      <w:r w:rsidR="00CA5316">
        <w:t xml:space="preserve">perspective on her teacher identity post-CFG. </w:t>
      </w:r>
      <w:r w:rsidR="00A436B2">
        <w:t xml:space="preserve">The nature of identity is fairly personal, and it is somewhat presumptuous to assume one can extrapolate the changes in her identity </w:t>
      </w:r>
      <w:r w:rsidR="00BD1624">
        <w:t>through the other interview questions. Rebecca’s vo</w:t>
      </w:r>
      <w:r w:rsidR="00D8399B">
        <w:t xml:space="preserve">ice on her teacher identity is imperative to a full understanding of how it had changed upon the influence of the CFG, and the fact that it is missing leaves the reader without a complete conclusion to the article. </w:t>
      </w:r>
    </w:p>
    <w:p w:rsidR="00586F6A" w:rsidRDefault="003C6C62" w:rsidP="002B6DA1">
      <w:pPr>
        <w:spacing w:after="0" w:line="480" w:lineRule="auto"/>
        <w:ind w:firstLine="357"/>
      </w:pPr>
      <w:r>
        <w:t>Moreover, because it is difficult to prove that CFGs have an impact on the teacher identities of student teachers, the investigation might have been more effective with multiple case studies. Having m</w:t>
      </w:r>
      <w:r w:rsidR="00697917">
        <w:t>ore than one perspective</w:t>
      </w:r>
      <w:r>
        <w:t xml:space="preserve"> taken into account might allow a general narrative to appear, providing readers with insight as to why </w:t>
      </w:r>
      <w:r w:rsidR="00240EBF">
        <w:t xml:space="preserve">CFGs are </w:t>
      </w:r>
      <w:r w:rsidR="00A55FB8">
        <w:t xml:space="preserve">particularly </w:t>
      </w:r>
      <w:r w:rsidR="00240EBF">
        <w:t>helpful in developing a teacher identity. Nevertheless, teacher identity is a personal topic and the use of a single case study also has positive aspects; one is able to avoid making generalizations about a group, and there are more resources available to dedicate to the participant (i.e. whereas a group of 6 participants might only receive ten-</w:t>
      </w:r>
      <w:r w:rsidR="00240EBF">
        <w:lastRenderedPageBreak/>
        <w:t xml:space="preserve">minute interviews each week, one participant would be able to have an hour-long weekly interview) and thus the researcher may investigate in depth. </w:t>
      </w:r>
    </w:p>
    <w:p w:rsidR="005C735E" w:rsidRDefault="006E111A" w:rsidP="002B6DA1">
      <w:pPr>
        <w:spacing w:after="0" w:line="480" w:lineRule="auto"/>
        <w:ind w:firstLine="357"/>
      </w:pPr>
      <w:r>
        <w:t>The article was well-written and an interesting read</w:t>
      </w:r>
      <w:r w:rsidR="009E33F3">
        <w:t xml:space="preserve"> for those who </w:t>
      </w:r>
      <w:r w:rsidR="007E58A0">
        <w:t>are looking to assist student teachers in the transition from learner to educator</w:t>
      </w:r>
      <w:r>
        <w:t>.  Although this is a case study done by a researcher, it is written as an article rather than a paper</w:t>
      </w:r>
      <w:r w:rsidR="00515E94">
        <w:t>. Franzak seamlessly incorporates quotes from Rebecca into the text; through her dialogue she establishes her growing confidence and excitement.</w:t>
      </w:r>
      <w:r w:rsidR="00FE6E55">
        <w:t xml:space="preserve"> </w:t>
      </w:r>
      <w:r w:rsidR="00FE6E55">
        <w:t xml:space="preserve">The quotations often highlight </w:t>
      </w:r>
      <w:r w:rsidR="00FE6E55">
        <w:t xml:space="preserve">aspects of her experience with the CFG that led to her becoming more confident in her teacher identity. For example, as previously stated, Rebecca is “sold for life” on CFG methods (Franzak 276) as she found the non-judgmental discourse present in their discussions to be applicable to the classroom. Thus, she now has a </w:t>
      </w:r>
      <w:r w:rsidR="00241B97">
        <w:t>basic philosophy and method that she is able to base her teaching upon</w:t>
      </w:r>
      <w:bookmarkStart w:id="0" w:name="_GoBack"/>
      <w:bookmarkEnd w:id="0"/>
      <w:r w:rsidR="00BF0464">
        <w:t xml:space="preserve">. </w:t>
      </w:r>
      <w:r w:rsidR="00515E94">
        <w:t xml:space="preserve">Despite the lack of a clear conclusion, the reader understands that Rebecca has developed a more secure teacher identity, and, despite her apprehension, she is more prepared to teach than she was initially. </w:t>
      </w:r>
    </w:p>
    <w:p w:rsidR="00681BE0" w:rsidRDefault="00360295" w:rsidP="002B6DA1">
      <w:pPr>
        <w:spacing w:after="0" w:line="480" w:lineRule="auto"/>
        <w:ind w:firstLine="357"/>
      </w:pPr>
      <w:r>
        <w:t xml:space="preserve">It is </w:t>
      </w:r>
      <w:r w:rsidR="001C4B4D">
        <w:t>also important to note that, although Franzak discussed the positive aspects of Rebecca’s involvement with the CFG, she did not explore the possibility of the CFG having negative consequences</w:t>
      </w:r>
      <w:r w:rsidR="00F00AEB">
        <w:t xml:space="preserve"> or a neutral effect</w:t>
      </w:r>
      <w:r w:rsidR="001C4B4D">
        <w:t xml:space="preserve">.  </w:t>
      </w:r>
      <w:r w:rsidR="00A927CB">
        <w:t xml:space="preserve">This is difficult to investigate, considering that it is impossible to know what Rebecca’s student teaching experience would have been like without the CFG, and because the idea of a </w:t>
      </w:r>
      <w:r w:rsidR="00F00AEB">
        <w:t>negative</w:t>
      </w:r>
      <w:r w:rsidR="00A927CB">
        <w:t xml:space="preserve"> consequence</w:t>
      </w:r>
      <w:r w:rsidR="00F00AEB">
        <w:t>/neutral effect</w:t>
      </w:r>
      <w:r w:rsidR="00A927CB">
        <w:t xml:space="preserve"> is subjective. Moreover, the c</w:t>
      </w:r>
      <w:r w:rsidR="003F521D">
        <w:t>orrelation</w:t>
      </w:r>
      <w:r w:rsidR="00A927CB">
        <w:t xml:space="preserve"> of a negative consequence does not necessarily entail that the causation is the CFG. However, the </w:t>
      </w:r>
      <w:r w:rsidR="00F00AEB">
        <w:t xml:space="preserve">assumption that CFG can do nothing but good is unproven, and </w:t>
      </w:r>
      <w:r w:rsidR="001A2785">
        <w:t>exploring</w:t>
      </w:r>
      <w:r w:rsidR="00F00AEB">
        <w:t xml:space="preserve"> the</w:t>
      </w:r>
      <w:r w:rsidR="001A2785">
        <w:t xml:space="preserve"> potential</w:t>
      </w:r>
      <w:r w:rsidR="00F00AEB">
        <w:t xml:space="preserve"> limitations</w:t>
      </w:r>
      <w:r w:rsidR="001A2785">
        <w:t xml:space="preserve"> of CFG involvement may give readers a better understanding as to how the program affected Rebecca.</w:t>
      </w:r>
    </w:p>
    <w:p w:rsidR="00597B56" w:rsidRDefault="00597B56" w:rsidP="002B6DA1">
      <w:pPr>
        <w:spacing w:after="0" w:line="480" w:lineRule="auto"/>
        <w:ind w:firstLine="357"/>
      </w:pPr>
    </w:p>
    <w:p w:rsidR="005C735E" w:rsidRDefault="005C735E">
      <w:r>
        <w:br w:type="page"/>
      </w:r>
    </w:p>
    <w:p w:rsidR="006E111A" w:rsidRDefault="005C735E" w:rsidP="005C735E">
      <w:pPr>
        <w:spacing w:after="0" w:line="480" w:lineRule="auto"/>
        <w:ind w:firstLine="357"/>
        <w:jc w:val="center"/>
      </w:pPr>
      <w:r>
        <w:lastRenderedPageBreak/>
        <w:t>References</w:t>
      </w:r>
    </w:p>
    <w:p w:rsidR="005C735E" w:rsidRDefault="005C735E" w:rsidP="005C735E">
      <w:pPr>
        <w:pStyle w:val="ListParagraph"/>
        <w:numPr>
          <w:ilvl w:val="0"/>
          <w:numId w:val="2"/>
        </w:numPr>
        <w:spacing w:after="0" w:line="480" w:lineRule="auto"/>
      </w:pPr>
      <w:r w:rsidRPr="005C735E">
        <w:t>Franzak, J. K. (2002). Developing a teacher identity: The impact of critical friends practice on the student teacher. </w:t>
      </w:r>
      <w:r w:rsidRPr="005C735E">
        <w:rPr>
          <w:i/>
          <w:iCs/>
        </w:rPr>
        <w:t>English education</w:t>
      </w:r>
      <w:r w:rsidRPr="005C735E">
        <w:t>, 258-280.</w:t>
      </w:r>
    </w:p>
    <w:sectPr w:rsidR="005C735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43" w:rsidRDefault="00975543" w:rsidP="00EC634D">
      <w:pPr>
        <w:spacing w:after="0" w:line="240" w:lineRule="auto"/>
      </w:pPr>
      <w:r>
        <w:separator/>
      </w:r>
    </w:p>
  </w:endnote>
  <w:endnote w:type="continuationSeparator" w:id="0">
    <w:p w:rsidR="00975543" w:rsidRDefault="00975543" w:rsidP="00EC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43" w:rsidRDefault="00975543" w:rsidP="00EC634D">
      <w:pPr>
        <w:spacing w:after="0" w:line="240" w:lineRule="auto"/>
      </w:pPr>
      <w:r>
        <w:separator/>
      </w:r>
    </w:p>
  </w:footnote>
  <w:footnote w:type="continuationSeparator" w:id="0">
    <w:p w:rsidR="00975543" w:rsidRDefault="00975543" w:rsidP="00EC6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34D" w:rsidRDefault="00EC634D" w:rsidP="00EC634D">
    <w:pPr>
      <w:pStyle w:val="Header"/>
      <w:jc w:val="right"/>
    </w:pPr>
    <w:r>
      <w:t>Aishah Cholmondeley</w:t>
    </w:r>
  </w:p>
  <w:p w:rsidR="00EC634D" w:rsidRDefault="00EC634D" w:rsidP="00EC634D">
    <w:pPr>
      <w:pStyle w:val="Header"/>
      <w:jc w:val="right"/>
    </w:pPr>
    <w:r>
      <w:t>260624106</w:t>
    </w:r>
  </w:p>
  <w:p w:rsidR="00EC634D" w:rsidRDefault="00EC634D" w:rsidP="00EC634D">
    <w:pPr>
      <w:pStyle w:val="Header"/>
      <w:jc w:val="right"/>
    </w:pPr>
    <w:r>
      <w:t>06/11/2015</w:t>
    </w:r>
  </w:p>
  <w:p w:rsidR="00EC634D" w:rsidRDefault="00EC634D" w:rsidP="00EC634D">
    <w:pPr>
      <w:pStyle w:val="Header"/>
      <w:jc w:val="right"/>
    </w:pPr>
    <w:r>
      <w:t>Submitted to T. Price for EDSL 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F1B63"/>
    <w:multiLevelType w:val="hybridMultilevel"/>
    <w:tmpl w:val="AA949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1A5EEB"/>
    <w:multiLevelType w:val="hybridMultilevel"/>
    <w:tmpl w:val="7AE88F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51"/>
    <w:rsid w:val="00070C84"/>
    <w:rsid w:val="00125AD3"/>
    <w:rsid w:val="001A2785"/>
    <w:rsid w:val="001B446F"/>
    <w:rsid w:val="001C4B4D"/>
    <w:rsid w:val="001C59EC"/>
    <w:rsid w:val="00240EBF"/>
    <w:rsid w:val="00241B97"/>
    <w:rsid w:val="00250231"/>
    <w:rsid w:val="002A1E33"/>
    <w:rsid w:val="002B0BB1"/>
    <w:rsid w:val="002B52A4"/>
    <w:rsid w:val="002B6DA1"/>
    <w:rsid w:val="002B7DA7"/>
    <w:rsid w:val="002C0CA2"/>
    <w:rsid w:val="00360295"/>
    <w:rsid w:val="00371D13"/>
    <w:rsid w:val="003766CA"/>
    <w:rsid w:val="003B4469"/>
    <w:rsid w:val="003C6C62"/>
    <w:rsid w:val="003E42BE"/>
    <w:rsid w:val="003F521D"/>
    <w:rsid w:val="00414615"/>
    <w:rsid w:val="00421CCB"/>
    <w:rsid w:val="0049616D"/>
    <w:rsid w:val="004A112A"/>
    <w:rsid w:val="004D74D9"/>
    <w:rsid w:val="00515E94"/>
    <w:rsid w:val="0058362E"/>
    <w:rsid w:val="00586F6A"/>
    <w:rsid w:val="0059322F"/>
    <w:rsid w:val="00597B56"/>
    <w:rsid w:val="005B340E"/>
    <w:rsid w:val="005C6FE0"/>
    <w:rsid w:val="005C735E"/>
    <w:rsid w:val="005E4E75"/>
    <w:rsid w:val="00604C63"/>
    <w:rsid w:val="006072CC"/>
    <w:rsid w:val="006326A6"/>
    <w:rsid w:val="00660B51"/>
    <w:rsid w:val="00680BF0"/>
    <w:rsid w:val="00681BE0"/>
    <w:rsid w:val="00684ACB"/>
    <w:rsid w:val="00685642"/>
    <w:rsid w:val="00685E0E"/>
    <w:rsid w:val="00697917"/>
    <w:rsid w:val="006B3242"/>
    <w:rsid w:val="006B6BDD"/>
    <w:rsid w:val="006E0478"/>
    <w:rsid w:val="006E08C9"/>
    <w:rsid w:val="006E111A"/>
    <w:rsid w:val="00700648"/>
    <w:rsid w:val="00712BD9"/>
    <w:rsid w:val="007145D9"/>
    <w:rsid w:val="00723771"/>
    <w:rsid w:val="00723984"/>
    <w:rsid w:val="007360C3"/>
    <w:rsid w:val="007B38DB"/>
    <w:rsid w:val="007B787B"/>
    <w:rsid w:val="007C1283"/>
    <w:rsid w:val="007E58A0"/>
    <w:rsid w:val="00822CA1"/>
    <w:rsid w:val="00883399"/>
    <w:rsid w:val="008A5B09"/>
    <w:rsid w:val="008C0D86"/>
    <w:rsid w:val="008C4B38"/>
    <w:rsid w:val="00901EFC"/>
    <w:rsid w:val="0090561F"/>
    <w:rsid w:val="00975543"/>
    <w:rsid w:val="009D3195"/>
    <w:rsid w:val="009E33F3"/>
    <w:rsid w:val="009F4B91"/>
    <w:rsid w:val="00A40FE3"/>
    <w:rsid w:val="00A436B2"/>
    <w:rsid w:val="00A55FB8"/>
    <w:rsid w:val="00A927CB"/>
    <w:rsid w:val="00AA5105"/>
    <w:rsid w:val="00B122AA"/>
    <w:rsid w:val="00B236B9"/>
    <w:rsid w:val="00B5123F"/>
    <w:rsid w:val="00B92951"/>
    <w:rsid w:val="00BB5F92"/>
    <w:rsid w:val="00BB7C5C"/>
    <w:rsid w:val="00BC4C6E"/>
    <w:rsid w:val="00BD1624"/>
    <w:rsid w:val="00BE7ABA"/>
    <w:rsid w:val="00BF0464"/>
    <w:rsid w:val="00C303C8"/>
    <w:rsid w:val="00C37B85"/>
    <w:rsid w:val="00C77037"/>
    <w:rsid w:val="00C91F60"/>
    <w:rsid w:val="00CA5316"/>
    <w:rsid w:val="00CC7BCF"/>
    <w:rsid w:val="00CE2D0B"/>
    <w:rsid w:val="00CF3928"/>
    <w:rsid w:val="00D138A5"/>
    <w:rsid w:val="00D552D4"/>
    <w:rsid w:val="00D678C7"/>
    <w:rsid w:val="00D76100"/>
    <w:rsid w:val="00D8399B"/>
    <w:rsid w:val="00D86525"/>
    <w:rsid w:val="00DD3DA7"/>
    <w:rsid w:val="00DE7B42"/>
    <w:rsid w:val="00DF20DA"/>
    <w:rsid w:val="00E00A39"/>
    <w:rsid w:val="00E34F16"/>
    <w:rsid w:val="00E42422"/>
    <w:rsid w:val="00E50D72"/>
    <w:rsid w:val="00E80514"/>
    <w:rsid w:val="00EB26D6"/>
    <w:rsid w:val="00EC634D"/>
    <w:rsid w:val="00ED6FC9"/>
    <w:rsid w:val="00EF00F1"/>
    <w:rsid w:val="00EF5178"/>
    <w:rsid w:val="00EF7241"/>
    <w:rsid w:val="00F00132"/>
    <w:rsid w:val="00F00AEB"/>
    <w:rsid w:val="00F16347"/>
    <w:rsid w:val="00F41248"/>
    <w:rsid w:val="00F60D85"/>
    <w:rsid w:val="00F93D89"/>
    <w:rsid w:val="00FC68FD"/>
    <w:rsid w:val="00FE37B7"/>
    <w:rsid w:val="00FE6E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9B7FA-A3C9-42C3-96AC-4DDE00A7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B51"/>
    <w:pPr>
      <w:ind w:left="720"/>
      <w:contextualSpacing/>
    </w:pPr>
  </w:style>
  <w:style w:type="paragraph" w:styleId="Header">
    <w:name w:val="header"/>
    <w:basedOn w:val="Normal"/>
    <w:link w:val="HeaderChar"/>
    <w:uiPriority w:val="99"/>
    <w:unhideWhenUsed/>
    <w:rsid w:val="00EC6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34D"/>
  </w:style>
  <w:style w:type="paragraph" w:styleId="Footer">
    <w:name w:val="footer"/>
    <w:basedOn w:val="Normal"/>
    <w:link w:val="FooterChar"/>
    <w:uiPriority w:val="99"/>
    <w:unhideWhenUsed/>
    <w:rsid w:val="00EC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3649</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dc:creator>
  <cp:keywords/>
  <dc:description/>
  <cp:lastModifiedBy>Aishah C</cp:lastModifiedBy>
  <cp:revision>58</cp:revision>
  <dcterms:created xsi:type="dcterms:W3CDTF">2015-10-30T00:39:00Z</dcterms:created>
  <dcterms:modified xsi:type="dcterms:W3CDTF">2015-11-06T13:27:00Z</dcterms:modified>
</cp:coreProperties>
</file>